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3"/>
        <w:gridCol w:w="1732"/>
      </w:tblGrid>
      <w:tr>
        <w:trPr/>
        <w:tc>
          <w:tcPr>
            <w:tcW w:w="1018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1018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b w:val="false"/>
                <w:sz w:val="52"/>
                <w:szCs w:val="52"/>
              </w:rPr>
            </w:pPr>
            <w:r>
              <w:rPr>
                <w:sz w:val="34"/>
                <w:szCs w:val="34"/>
              </w:rPr>
              <w:t>Нижегородской области</w:t>
            </w:r>
          </w:p>
        </w:tc>
      </w:tr>
      <w:tr>
        <w:trPr>
          <w:cantSplit w:val="true"/>
        </w:trPr>
        <w:tc>
          <w:tcPr>
            <w:tcW w:w="10184" w:type="dxa"/>
            <w:gridSpan w:val="5"/>
            <w:tcBorders/>
          </w:tcPr>
          <w:p>
            <w:pPr>
              <w:pStyle w:val="Header"/>
              <w:tabs>
                <w:tab w:val="left" w:pos="708" w:leader="none"/>
                <w:tab w:val="center" w:pos="4677" w:leader="none"/>
                <w:tab w:val="right" w:pos="9355" w:leader="none"/>
              </w:tabs>
              <w:jc w:val="center"/>
              <w:rPr>
                <w:b/>
                <w:sz w:val="36"/>
                <w:szCs w:val="36"/>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lang w:val="en-US"/>
              </w:rPr>
              <w:t>12</w:t>
            </w:r>
            <w:r>
              <w:rPr>
                <w:szCs w:val="28"/>
              </w:rPr>
              <w:t>.</w:t>
            </w:r>
            <w:r>
              <w:rPr>
                <w:szCs w:val="28"/>
                <w:lang w:val="en-US"/>
              </w:rPr>
              <w:t>03</w:t>
            </w:r>
            <w:r>
              <w:rPr>
                <w:szCs w:val="28"/>
              </w:rPr>
              <w:t>.</w:t>
            </w:r>
            <w:r>
              <w:rPr>
                <w:szCs w:val="28"/>
                <w:lang w:val="en-US"/>
              </w:rPr>
              <w:t>2024</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3" w:type="dxa"/>
            <w:tcBorders/>
          </w:tcPr>
          <w:p>
            <w:pPr>
              <w:pStyle w:val="Normal"/>
              <w:rPr>
                <w:szCs w:val="28"/>
              </w:rPr>
            </w:pPr>
            <w:r>
              <w:rPr>
                <w:szCs w:val="28"/>
              </w:rPr>
              <w:t>№</w:t>
            </w:r>
          </w:p>
        </w:tc>
        <w:tc>
          <w:tcPr>
            <w:tcW w:w="1732" w:type="dxa"/>
            <w:tcBorders>
              <w:bottom w:val="single" w:sz="4" w:space="0" w:color="000000"/>
            </w:tcBorders>
          </w:tcPr>
          <w:p>
            <w:pPr>
              <w:pStyle w:val="Normal"/>
              <w:rPr>
                <w:szCs w:val="28"/>
                <w:lang w:val="en-US"/>
              </w:rPr>
            </w:pPr>
            <w:r>
              <w:rPr>
                <w:szCs w:val="28"/>
                <w:lang w:val="en-US"/>
              </w:rPr>
              <w:t>312</w:t>
            </w:r>
            <w:bookmarkStart w:id="0" w:name="_Hlk126312873"/>
            <w:bookmarkEnd w:id="0"/>
          </w:p>
        </w:tc>
      </w:tr>
    </w:tbl>
    <w:p>
      <w:pPr>
        <w:pStyle w:val="Normal"/>
        <w:jc w:val="center"/>
        <w:rPr>
          <w:b/>
          <w:sz w:val="16"/>
          <w:szCs w:val="16"/>
          <w:lang w:val="en-US"/>
        </w:rPr>
      </w:pPr>
      <w:r>
        <w:rPr>
          <w:b/>
          <w:sz w:val="16"/>
          <w:szCs w:val="16"/>
          <w:lang w:val="en-US"/>
        </w:rPr>
      </w:r>
    </w:p>
    <w:p>
      <w:pPr>
        <w:pStyle w:val="Normal"/>
        <w:jc w:val="center"/>
        <w:rPr>
          <w:b/>
          <w:bCs/>
          <w:szCs w:val="28"/>
        </w:rPr>
      </w:pPr>
      <w:r>
        <w:rPr>
          <w:b/>
          <w:bCs/>
          <w:szCs w:val="28"/>
        </w:rPr>
      </w:r>
      <w:bookmarkStart w:id="1" w:name="_Hlk159062708"/>
      <w:bookmarkStart w:id="2" w:name="_Hlk159062708"/>
    </w:p>
    <w:p>
      <w:pPr>
        <w:pStyle w:val="Normal"/>
        <w:jc w:val="center"/>
        <w:rPr>
          <w:rStyle w:val="FontStyle23"/>
          <w:b/>
          <w:bCs/>
          <w:sz w:val="28"/>
          <w:szCs w:val="28"/>
        </w:rPr>
      </w:pPr>
      <w:r>
        <w:rPr>
          <w:b/>
          <w:bCs/>
          <w:szCs w:val="28"/>
        </w:rPr>
        <w:t xml:space="preserve">Об утверждении порядка </w:t>
      </w:r>
      <w:r>
        <w:rPr>
          <w:rStyle w:val="FontStyle23"/>
          <w:b/>
          <w:bCs/>
          <w:szCs w:val="28"/>
        </w:rPr>
        <w:t xml:space="preserve">предоставления субсидии на </w:t>
      </w:r>
      <w:r>
        <w:rPr>
          <w:b/>
          <w:bCs/>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bookmarkEnd w:id="2"/>
    </w:p>
    <w:p>
      <w:pPr>
        <w:pStyle w:val="Normal"/>
        <w:jc w:val="center"/>
        <w:rPr>
          <w:b/>
          <w:sz w:val="10"/>
          <w:szCs w:val="10"/>
        </w:rPr>
      </w:pPr>
      <w:r>
        <w:rPr>
          <w:b/>
          <w:sz w:val="10"/>
          <w:szCs w:val="10"/>
        </w:rPr>
      </w:r>
    </w:p>
    <w:p>
      <w:pPr>
        <w:pStyle w:val="Normal"/>
        <w:ind w:firstLine="709"/>
        <w:jc w:val="both"/>
        <w:rPr>
          <w:color w:val="FF0000"/>
          <w:szCs w:val="28"/>
        </w:rPr>
      </w:pPr>
      <w:r>
        <w:rPr>
          <w:szCs w:val="28"/>
        </w:rPr>
        <w:t xml:space="preserve">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szCs w:val="28"/>
          </w:rPr>
          <w:t>Правил</w:t>
        </w:r>
      </w:hyperlink>
      <w:r>
        <w:rPr>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с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Pr>
          <w:bCs/>
          <w:szCs w:val="28"/>
        </w:rPr>
        <w:t>на поддержку проведения 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Pr>
          <w:szCs w:val="28"/>
        </w:rPr>
        <w:t xml:space="preserve">, </w:t>
      </w:r>
      <w:r>
        <w:rPr>
          <w:bCs/>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Pr>
          <w:szCs w:val="28"/>
        </w:rPr>
        <w:t>утвержденными постановлением Правительства Нижегородской области от «15» февраля 2024 г. №58,</w:t>
      </w:r>
      <w:r>
        <w:rPr>
          <w:sz w:val="26"/>
          <w:szCs w:val="26"/>
        </w:rPr>
        <w:t xml:space="preserve"> </w:t>
      </w:r>
      <w:r>
        <w:rPr/>
        <w:t xml:space="preserve">Уставом Ардатовского муниципального округа,  в соответствии со статьей </w:t>
      </w:r>
      <w:r>
        <w:rPr>
          <w:szCs w:val="28"/>
        </w:rPr>
        <w:t xml:space="preserve">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 е т</w:t>
      </w:r>
      <w:r>
        <w:rPr>
          <w:szCs w:val="28"/>
        </w:rPr>
        <w:t>:</w:t>
      </w:r>
      <w:r>
        <w:rPr>
          <w:color w:val="FF0000"/>
          <w:szCs w:val="28"/>
        </w:rPr>
        <w:t xml:space="preserve"> </w:t>
      </w:r>
    </w:p>
    <w:p>
      <w:pPr>
        <w:pStyle w:val="Normal"/>
        <w:jc w:val="both"/>
        <w:rPr>
          <w:color w:val="FF0000"/>
          <w:szCs w:val="28"/>
        </w:rPr>
      </w:pPr>
      <w:r>
        <w:rPr>
          <w:color w:val="FF0000"/>
          <w:szCs w:val="28"/>
        </w:rPr>
      </w:r>
    </w:p>
    <w:p>
      <w:pPr>
        <w:pStyle w:val="ListParagraph"/>
        <w:numPr>
          <w:ilvl w:val="0"/>
          <w:numId w:val="2"/>
        </w:numPr>
        <w:shd w:val="clear" w:color="auto" w:fill="FFFFFF"/>
        <w:ind w:firstLine="567" w:left="0"/>
        <w:jc w:val="both"/>
        <w:rPr>
          <w:szCs w:val="28"/>
        </w:rPr>
      </w:pPr>
      <w:r>
        <w:rPr>
          <w:szCs w:val="28"/>
        </w:rPr>
        <w:t xml:space="preserve">Утвердить прилагаемый порядок </w:t>
      </w:r>
      <w:r>
        <w:rPr>
          <w:rStyle w:val="FontStyle23"/>
          <w:sz w:val="28"/>
          <w:szCs w:val="28"/>
        </w:rPr>
        <w:t xml:space="preserve">предоставления субсидии на </w:t>
      </w:r>
      <w:r>
        <w:rPr>
          <w:bCs/>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Pr>
          <w:szCs w:val="28"/>
        </w:rPr>
        <w:t xml:space="preserve">; </w:t>
      </w:r>
      <w:bookmarkStart w:id="3" w:name="_Hlk156468283"/>
    </w:p>
    <w:p>
      <w:pPr>
        <w:pStyle w:val="ListParagraph"/>
        <w:numPr>
          <w:ilvl w:val="0"/>
          <w:numId w:val="2"/>
        </w:numPr>
        <w:shd w:val="clear" w:color="auto" w:fill="FFFFFF"/>
        <w:ind w:firstLine="567" w:left="0"/>
        <w:jc w:val="both"/>
        <w:rPr>
          <w:szCs w:val="28"/>
        </w:rPr>
      </w:pPr>
      <w:r>
        <w:rPr>
          <w:szCs w:val="28"/>
        </w:rPr>
        <w:t>Постановление администрации Ардатовского муниципального округа Нижегородской области от 23.03.2023 г. № 305 «Об утверждении порядка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 отменить.</w:t>
      </w:r>
    </w:p>
    <w:p>
      <w:pPr>
        <w:pStyle w:val="ListParagraph"/>
        <w:numPr>
          <w:ilvl w:val="0"/>
          <w:numId w:val="2"/>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Normal"/>
        <w:shd w:val="clear" w:color="auto" w:fill="FFFFFF"/>
        <w:ind w:firstLine="567"/>
        <w:jc w:val="both"/>
        <w:rPr>
          <w:color w:val="1A1A1A"/>
          <w:szCs w:val="28"/>
        </w:rPr>
      </w:pPr>
      <w:r>
        <w:rPr>
          <w:color w:val="1A1A1A"/>
          <w:szCs w:val="28"/>
        </w:rPr>
        <w:tab/>
        <w:t>3.1 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w:t>
      </w:r>
    </w:p>
    <w:p>
      <w:pPr>
        <w:pStyle w:val="Normal"/>
        <w:shd w:val="clear" w:color="auto" w:fill="FFFFFF"/>
        <w:ind w:firstLine="567"/>
        <w:jc w:val="both"/>
        <w:rPr>
          <w:color w:val="1A1A1A"/>
          <w:szCs w:val="28"/>
        </w:rPr>
      </w:pPr>
      <w:r>
        <w:rPr>
          <w:color w:val="1A1A1A"/>
          <w:szCs w:val="28"/>
        </w:rPr>
        <w:t>«Межпоселенческая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ab/>
        <w:t>3.2. размещение настоящего постановления на официальном сайте Ардатовского муниципального округа по адресу ardatov.nobl.ru.</w:t>
      </w:r>
    </w:p>
    <w:p>
      <w:pPr>
        <w:pStyle w:val="Normal"/>
        <w:widowControl w:val="false"/>
        <w:tabs>
          <w:tab w:val="clear" w:pos="708"/>
          <w:tab w:val="left" w:pos="142" w:leader="none"/>
          <w:tab w:val="left" w:pos="851" w:leader="none"/>
        </w:tabs>
        <w:ind w:firstLine="709"/>
        <w:jc w:val="both"/>
        <w:rPr>
          <w:szCs w:val="28"/>
        </w:rPr>
      </w:pPr>
      <w:r>
        <w:rPr>
          <w:szCs w:val="28"/>
        </w:rPr>
        <w:t>4.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ind w:left="1125"/>
        <w:jc w:val="both"/>
        <w:rPr>
          <w:color w:val="000000"/>
          <w:szCs w:val="28"/>
        </w:rPr>
      </w:pPr>
      <w:r>
        <w:rPr>
          <w:color w:val="000000"/>
          <w:szCs w:val="28"/>
        </w:rPr>
      </w:r>
      <w:bookmarkEnd w:id="3"/>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Normal"/>
        <w:jc w:val="both"/>
        <w:rPr>
          <w:szCs w:val="28"/>
        </w:rPr>
      </w:pPr>
      <w:r>
        <w:rPr>
          <w:szCs w:val="28"/>
        </w:rPr>
      </w:r>
    </w:p>
    <w:p>
      <w:pPr>
        <w:pStyle w:val="Style91"/>
        <w:widowControl/>
        <w:spacing w:lineRule="auto" w:line="240"/>
        <w:jc w:val="center"/>
        <w:rPr>
          <w:rStyle w:val="FontStyle23"/>
          <w:sz w:val="28"/>
          <w:szCs w:val="28"/>
        </w:rPr>
      </w:pPr>
      <w:r>
        <w:rPr>
          <w:sz w:val="28"/>
          <w:szCs w:val="28"/>
        </w:rPr>
      </w:r>
    </w:p>
    <w:p>
      <w:pPr>
        <w:pStyle w:val="Style91"/>
        <w:widowControl/>
        <w:spacing w:lineRule="auto" w:line="240"/>
        <w:jc w:val="center"/>
        <w:rPr>
          <w:rStyle w:val="FontStyle23"/>
          <w:sz w:val="28"/>
          <w:szCs w:val="28"/>
        </w:rPr>
      </w:pPr>
      <w:r>
        <w:rPr>
          <w:sz w:val="28"/>
          <w:szCs w:val="28"/>
        </w:rPr>
      </w:r>
    </w:p>
    <w:p>
      <w:pPr>
        <w:pStyle w:val="NoSpacing"/>
        <w:jc w:val="right"/>
        <w:rPr>
          <w:sz w:val="26"/>
          <w:szCs w:val="26"/>
        </w:rPr>
      </w:pPr>
      <w:r>
        <w:rPr>
          <w:sz w:val="26"/>
          <w:szCs w:val="26"/>
        </w:rPr>
        <w:t xml:space="preserve">                                                               </w:t>
      </w:r>
    </w:p>
    <w:p>
      <w:pPr>
        <w:pStyle w:val="NoSpacing"/>
        <w:jc w:val="right"/>
        <w:rPr>
          <w:sz w:val="26"/>
          <w:szCs w:val="26"/>
        </w:rPr>
      </w:pPr>
      <w:r>
        <w:rPr>
          <w:sz w:val="26"/>
          <w:szCs w:val="26"/>
        </w:rPr>
      </w:r>
    </w:p>
    <w:p>
      <w:pPr>
        <w:pStyle w:val="NoSpacing"/>
        <w:jc w:val="right"/>
        <w:rPr>
          <w:sz w:val="26"/>
          <w:szCs w:val="26"/>
        </w:rPr>
      </w:pPr>
      <w:r>
        <w:rPr>
          <w:sz w:val="26"/>
          <w:szCs w:val="26"/>
        </w:rPr>
      </w:r>
    </w:p>
    <w:tbl>
      <w:tblPr>
        <w:tblW w:w="9781" w:type="dxa"/>
        <w:jc w:val="left"/>
        <w:tblInd w:w="-142" w:type="dxa"/>
        <w:tblLayout w:type="fixed"/>
        <w:tblCellMar>
          <w:top w:w="0" w:type="dxa"/>
          <w:left w:w="108" w:type="dxa"/>
          <w:bottom w:w="0" w:type="dxa"/>
          <w:right w:w="108" w:type="dxa"/>
        </w:tblCellMar>
        <w:tblLook w:val="01e0" w:noHBand="0" w:noVBand="0" w:firstColumn="1" w:lastRow="1" w:lastColumn="1" w:firstRow="1"/>
      </w:tblPr>
      <w:tblGrid>
        <w:gridCol w:w="5562"/>
        <w:gridCol w:w="1480"/>
        <w:gridCol w:w="2738"/>
      </w:tblGrid>
      <w:tr>
        <w:trPr/>
        <w:tc>
          <w:tcPr>
            <w:tcW w:w="5562"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 года</w:t>
            </w:r>
          </w:p>
          <w:p>
            <w:pPr>
              <w:pStyle w:val="Normal"/>
              <w:widowControl w:val="false"/>
              <w:tabs>
                <w:tab w:val="clear" w:pos="708"/>
                <w:tab w:val="left" w:pos="142" w:leader="none"/>
                <w:tab w:val="left" w:pos="851" w:leader="none"/>
              </w:tabs>
              <w:jc w:val="both"/>
              <w:rPr>
                <w:szCs w:val="28"/>
              </w:rPr>
            </w:pPr>
            <w:r>
              <w:rPr>
                <w:szCs w:val="28"/>
              </w:rPr>
            </w:r>
          </w:p>
        </w:tc>
        <w:tc>
          <w:tcPr>
            <w:tcW w:w="4218"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r>
      <w:tr>
        <w:trPr/>
        <w:tc>
          <w:tcPr>
            <w:tcW w:w="7042"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______________________В.И.Кудряшов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 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2738" w:type="dxa"/>
            <w:tcBorders/>
          </w:tcPr>
          <w:p>
            <w:pPr>
              <w:pStyle w:val="Normal"/>
              <w:rPr/>
            </w:pPr>
            <w:r>
              <w:rPr/>
            </w:r>
          </w:p>
        </w:tc>
      </w:tr>
      <w:tr>
        <w:trPr/>
        <w:tc>
          <w:tcPr>
            <w:tcW w:w="7042"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2738" w:type="dxa"/>
            <w:tcBorders/>
          </w:tcPr>
          <w:p>
            <w:pPr>
              <w:pStyle w:val="Normal"/>
              <w:rPr/>
            </w:pPr>
            <w:r>
              <w:rPr/>
            </w:r>
          </w:p>
        </w:tc>
      </w:tr>
      <w:tr>
        <w:trPr/>
        <w:tc>
          <w:tcPr>
            <w:tcW w:w="7042" w:type="dxa"/>
            <w:gridSpan w:val="2"/>
            <w:tcBorders/>
          </w:tcPr>
          <w:p>
            <w:pPr>
              <w:pStyle w:val="Normal"/>
              <w:rPr>
                <w:szCs w:val="28"/>
              </w:rPr>
            </w:pPr>
            <w:r>
              <w:rPr>
                <w:szCs w:val="28"/>
              </w:rPr>
              <w:t xml:space="preserve">Главный специалист сектора </w:t>
            </w:r>
          </w:p>
          <w:p>
            <w:pPr>
              <w:pStyle w:val="Normal"/>
              <w:rPr>
                <w:szCs w:val="28"/>
              </w:rPr>
            </w:pPr>
            <w:r>
              <w:rPr>
                <w:szCs w:val="28"/>
              </w:rPr>
              <w:t xml:space="preserve">по правовым вопросам администрации </w:t>
            </w:r>
          </w:p>
          <w:p>
            <w:pPr>
              <w:pStyle w:val="Normal"/>
              <w:rPr>
                <w:szCs w:val="28"/>
              </w:rPr>
            </w:pPr>
            <w:r>
              <w:rPr>
                <w:szCs w:val="28"/>
              </w:rPr>
              <w:t>Ардатовского муниципального округа</w:t>
            </w:r>
          </w:p>
          <w:p>
            <w:pPr>
              <w:pStyle w:val="Normal"/>
              <w:rPr>
                <w:szCs w:val="28"/>
              </w:rPr>
            </w:pPr>
            <w:r>
              <w:rPr>
                <w:szCs w:val="28"/>
              </w:rPr>
              <w:t>______________________В.Ю. Похмельнова</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2738" w:type="dxa"/>
            <w:tcBorders/>
          </w:tcPr>
          <w:p>
            <w:pPr>
              <w:pStyle w:val="Normal"/>
              <w:rPr/>
            </w:pPr>
            <w:r>
              <w:rPr/>
            </w:r>
          </w:p>
        </w:tc>
      </w:tr>
    </w:tbl>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lang w:val="en-US"/>
        </w:rPr>
      </w:pPr>
      <w:r>
        <w:rPr>
          <w:sz w:val="26"/>
          <w:szCs w:val="26"/>
          <w:lang w:val="en-US"/>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12.03.2024 г. № 312</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right"/>
        <w:rPr>
          <w:rStyle w:val="FontStyle23"/>
          <w:sz w:val="28"/>
          <w:szCs w:val="28"/>
        </w:rPr>
      </w:pPr>
      <w:r>
        <w:rPr>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bookmarkStart w:id="4" w:name="_Hlk159062616"/>
      <w:r>
        <w:rPr>
          <w:rStyle w:val="FontStyle23"/>
          <w:sz w:val="28"/>
          <w:szCs w:val="28"/>
        </w:rPr>
        <w:t xml:space="preserve">предоставления субсидии на </w:t>
      </w:r>
      <w:r>
        <w:rPr>
          <w:bCs/>
          <w:sz w:val="28"/>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bookmarkEnd w:id="4"/>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4">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bookmarkStart w:id="5" w:name="_Hlk159062874"/>
      <w:r>
        <w:rPr>
          <w:rFonts w:cs="Times New Roman" w:ascii="Times New Roman" w:hAnsi="Times New Roman"/>
          <w:sz w:val="28"/>
          <w:szCs w:val="28"/>
        </w:rPr>
        <w:t xml:space="preserve">Порядком и условиями предоставления субсидий </w:t>
      </w:r>
      <w:r>
        <w:rPr>
          <w:rFonts w:cs="Times New Roman" w:ascii="Times New Roman" w:hAnsi="Times New Roman"/>
          <w:bCs/>
          <w:sz w:val="28"/>
          <w:szCs w:val="28"/>
        </w:rPr>
        <w:t>на поддержку проведения 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Pr>
          <w:rFonts w:cs="Times New Roman" w:ascii="Times New Roman" w:hAnsi="Times New Roman"/>
          <w:sz w:val="28"/>
          <w:szCs w:val="28"/>
        </w:rPr>
        <w:t>утвержденными постановлением Правительства Нижегородской области от «15» февраля 2024 г. № 58</w:t>
      </w:r>
      <w:bookmarkEnd w:id="5"/>
      <w:r>
        <w:rPr>
          <w:rFonts w:cs="Times New Roman" w:ascii="Times New Roman" w:hAnsi="Times New Roman"/>
          <w:sz w:val="28"/>
          <w:szCs w:val="28"/>
        </w:rPr>
        <w:t xml:space="preserve">, регулирует порядок предоставления из местного бюджета Ардатовского муниципального округа субсидии </w:t>
      </w:r>
      <w:r>
        <w:rPr>
          <w:rFonts w:cs="Times New Roman" w:ascii="Times New Roman" w:hAnsi="Times New Roman"/>
          <w:bCs/>
          <w:sz w:val="28"/>
          <w:szCs w:val="28"/>
        </w:rPr>
        <w:t>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по поддержке проведения агротехнологических работ, повышению уровня экологической безопасности сельскохозяйственного производства, а также по повышению плодородия и качества почв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before="240" w:after="240"/>
        <w:ind w:firstLine="709"/>
        <w:jc w:val="both"/>
        <w:rPr>
          <w:sz w:val="28"/>
          <w:szCs w:val="28"/>
        </w:rPr>
      </w:pPr>
      <w:r>
        <w:rPr>
          <w:sz w:val="28"/>
          <w:szCs w:val="28"/>
        </w:rPr>
        <w:t>1.2. Понятия, используемые в настоящем Порядке, применяются в значениях, определенных Порядком и условиями и Правилами.</w:t>
      </w:r>
    </w:p>
    <w:p>
      <w:pPr>
        <w:pStyle w:val="NoSpacing"/>
        <w:spacing w:lineRule="auto" w:line="360" w:before="0" w:after="240"/>
        <w:ind w:firstLine="709"/>
        <w:jc w:val="both"/>
        <w:rPr>
          <w:sz w:val="28"/>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before="0" w:after="24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 xml:space="preserve">1.5. Получатели субсидии в соответствии с пунктом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принятым по итогам отбора проектов </w:t>
      </w:r>
      <w:r>
        <w:rPr>
          <w:bCs/>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Pr>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spacing w:lineRule="auto" w:line="360"/>
        <w:ind w:firstLine="709"/>
        <w:jc w:val="both"/>
        <w:rPr>
          <w:szCs w:val="28"/>
        </w:rPr>
      </w:pPr>
      <w:r>
        <w:rPr>
          <w:bCs/>
          <w:szCs w:val="28"/>
        </w:rPr>
        <w:t>За счет средств областного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 xml:space="preserve">АО «Кузятовское», </w:t>
      </w:r>
      <w:r>
        <w:rPr>
          <w:szCs w:val="28"/>
        </w:rPr>
        <w:t>ИНН</w:t>
      </w:r>
      <w:r>
        <w:rPr>
          <w:color w:themeColor="text1" w:val="000000"/>
          <w:szCs w:val="28"/>
        </w:rPr>
        <w:t xml:space="preserve"> 5201004205;</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«Велес», ИНН 5201003226;</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«Агрофирма «Приволье», ИНН 5201001050;</w:t>
      </w:r>
    </w:p>
    <w:p>
      <w:pPr>
        <w:pStyle w:val="Normal"/>
        <w:spacing w:lineRule="auto" w:line="360"/>
        <w:ind w:firstLine="709"/>
        <w:jc w:val="both"/>
        <w:rPr>
          <w:color w:themeColor="text1" w:val="000000"/>
        </w:rPr>
      </w:pPr>
      <w:r>
        <w:rPr>
          <w:color w:themeColor="text1" w:val="000000"/>
          <w:szCs w:val="28"/>
        </w:rPr>
        <w:t xml:space="preserve">- </w:t>
      </w:r>
      <w:r>
        <w:rPr>
          <w:color w:themeColor="text1" w:val="000000"/>
        </w:rPr>
        <w:t xml:space="preserve">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szCs w:val="28"/>
        </w:rPr>
      </w:pPr>
      <w:r>
        <w:rPr>
          <w:color w:themeColor="text1" w:val="000000"/>
          <w:szCs w:val="28"/>
        </w:rPr>
        <w:t>- ИП ГКФХ Солодов А.И., ИНН 520100613688;</w:t>
      </w:r>
    </w:p>
    <w:p>
      <w:pPr>
        <w:pStyle w:val="Normal"/>
        <w:spacing w:lineRule="auto" w:line="360"/>
        <w:ind w:firstLine="709"/>
        <w:jc w:val="both"/>
        <w:rPr>
          <w:color w:themeColor="text1" w:val="000000"/>
          <w:szCs w:val="28"/>
        </w:rPr>
      </w:pPr>
      <w:r>
        <w:rPr>
          <w:color w:themeColor="text1" w:val="000000"/>
          <w:szCs w:val="28"/>
        </w:rPr>
        <w:t>- ИП ГКФХ Щетинин В.И., ИНН 520103269842;</w:t>
      </w:r>
    </w:p>
    <w:p>
      <w:pPr>
        <w:pStyle w:val="Normal"/>
        <w:spacing w:lineRule="auto" w:line="360"/>
        <w:ind w:firstLine="709"/>
        <w:jc w:val="both"/>
        <w:rPr>
          <w:color w:themeColor="text1" w:val="000000"/>
          <w:szCs w:val="28"/>
        </w:rPr>
      </w:pPr>
      <w:r>
        <w:rPr>
          <w:color w:themeColor="text1" w:val="000000"/>
          <w:szCs w:val="28"/>
        </w:rPr>
      </w:r>
    </w:p>
    <w:p>
      <w:pPr>
        <w:pStyle w:val="Normal"/>
        <w:spacing w:lineRule="auto" w:line="360"/>
        <w:ind w:firstLine="709"/>
        <w:jc w:val="both"/>
        <w:rPr>
          <w:szCs w:val="28"/>
        </w:rPr>
      </w:pPr>
      <w:r>
        <w:rPr>
          <w:bCs/>
          <w:szCs w:val="28"/>
        </w:rPr>
        <w:t>За счет средств областного бюджета</w:t>
      </w:r>
    </w:p>
    <w:p>
      <w:pPr>
        <w:pStyle w:val="Normal"/>
        <w:spacing w:lineRule="auto" w:line="360"/>
        <w:ind w:firstLine="709"/>
        <w:jc w:val="both"/>
        <w:rPr>
          <w:szCs w:val="28"/>
        </w:rPr>
      </w:pPr>
      <w:r>
        <w:rPr>
          <w:szCs w:val="28"/>
        </w:rPr>
        <w:t xml:space="preserve">- </w:t>
      </w:r>
      <w:r>
        <w:rPr>
          <w:color w:themeColor="text1" w:val="000000"/>
        </w:rPr>
        <w:t>СПК «Надежинский»</w:t>
      </w:r>
      <w:r>
        <w:rPr>
          <w:szCs w:val="28"/>
        </w:rPr>
        <w:t xml:space="preserve">, ИНН </w:t>
      </w:r>
      <w:r>
        <w:rPr>
          <w:color w:themeColor="text1" w:val="000000"/>
        </w:rPr>
        <w:t>5201002631</w:t>
      </w:r>
      <w:r>
        <w:rPr>
          <w:szCs w:val="28"/>
        </w:rPr>
        <w:t xml:space="preserve">; </w:t>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 xml:space="preserve">АО «Кузятовское», </w:t>
      </w:r>
      <w:r>
        <w:rPr>
          <w:szCs w:val="28"/>
        </w:rPr>
        <w:t>ИНН</w:t>
      </w:r>
      <w:r>
        <w:rPr>
          <w:color w:themeColor="text1" w:val="000000"/>
          <w:szCs w:val="28"/>
        </w:rPr>
        <w:t xml:space="preserve"> 5201004205;</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«Велес», ИНН 5201003226;</w:t>
      </w:r>
    </w:p>
    <w:p>
      <w:pPr>
        <w:pStyle w:val="Normal"/>
        <w:spacing w:lineRule="auto" w:line="360"/>
        <w:ind w:firstLine="709"/>
        <w:jc w:val="both"/>
        <w:rPr>
          <w:color w:themeColor="text1" w:val="000000"/>
          <w:szCs w:val="28"/>
        </w:rPr>
      </w:pPr>
      <w:r>
        <w:rPr>
          <w:color w:themeColor="text1" w:val="000000"/>
          <w:szCs w:val="28"/>
        </w:rPr>
        <w:t xml:space="preserve">- </w:t>
      </w:r>
      <w:r>
        <w:rPr>
          <w:color w:themeColor="text1" w:val="000000"/>
        </w:rPr>
        <w:t>ООО</w:t>
      </w:r>
      <w:r>
        <w:rPr>
          <w:color w:themeColor="text1" w:val="000000"/>
          <w:szCs w:val="28"/>
        </w:rPr>
        <w:t xml:space="preserve"> «Агрофирма «Приволье», ИНН 5201001050;</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ООО «Красавин», ИНН 5254496960;</w:t>
      </w:r>
    </w:p>
    <w:p>
      <w:pPr>
        <w:pStyle w:val="Normal"/>
        <w:spacing w:lineRule="auto" w:line="360"/>
        <w:ind w:firstLine="709"/>
        <w:jc w:val="both"/>
        <w:rPr>
          <w:color w:themeColor="text1" w:val="000000"/>
          <w:szCs w:val="28"/>
        </w:rPr>
      </w:pPr>
      <w:r>
        <w:rPr>
          <w:color w:themeColor="text1" w:val="000000"/>
          <w:szCs w:val="28"/>
        </w:rPr>
        <w:t>- КФХ Ваганов С.Н., ИНН 520100046982;</w:t>
      </w:r>
    </w:p>
    <w:p>
      <w:pPr>
        <w:pStyle w:val="Normal"/>
        <w:spacing w:lineRule="auto" w:line="360"/>
        <w:ind w:firstLine="709"/>
        <w:jc w:val="both"/>
        <w:rPr>
          <w:color w:themeColor="text1" w:val="000000"/>
        </w:rPr>
      </w:pPr>
      <w:r>
        <w:rPr>
          <w:color w:themeColor="text1" w:val="000000"/>
          <w:szCs w:val="28"/>
        </w:rPr>
        <w:t xml:space="preserve">- </w:t>
      </w:r>
      <w:r>
        <w:rPr>
          <w:color w:themeColor="text1" w:val="000000"/>
        </w:rPr>
        <w:t xml:space="preserve">ИП ГКФХ Красавин В.В., </w:t>
      </w:r>
      <w:r>
        <w:rPr>
          <w:szCs w:val="28"/>
        </w:rPr>
        <w:t>ИНН</w:t>
      </w:r>
      <w:r>
        <w:rPr>
          <w:color w:themeColor="text1" w:val="000000"/>
        </w:rPr>
        <w:t xml:space="preserve"> 520101859028;</w:t>
      </w:r>
    </w:p>
    <w:p>
      <w:pPr>
        <w:pStyle w:val="Normal"/>
        <w:spacing w:lineRule="auto" w:line="360"/>
        <w:ind w:firstLine="709"/>
        <w:jc w:val="both"/>
        <w:rPr>
          <w:color w:themeColor="text1" w:val="000000"/>
        </w:rPr>
      </w:pPr>
      <w:r>
        <w:rPr>
          <w:color w:themeColor="text1" w:val="000000"/>
        </w:rPr>
        <w:t xml:space="preserve">- ГКФХ Царьков Сергей Федорович, </w:t>
      </w:r>
      <w:r>
        <w:rPr>
          <w:szCs w:val="28"/>
        </w:rPr>
        <w:t>ИНН</w:t>
      </w:r>
      <w:r>
        <w:rPr>
          <w:color w:themeColor="text1" w:val="000000"/>
        </w:rPr>
        <w:t xml:space="preserve"> 520101901093;</w:t>
      </w:r>
    </w:p>
    <w:p>
      <w:pPr>
        <w:pStyle w:val="Normal"/>
        <w:spacing w:lineRule="auto" w:line="360"/>
        <w:ind w:firstLine="709"/>
        <w:jc w:val="both"/>
        <w:rPr>
          <w:color w:themeColor="text1" w:val="000000"/>
          <w:szCs w:val="28"/>
        </w:rPr>
      </w:pPr>
      <w:r>
        <w:rPr>
          <w:color w:themeColor="text1" w:val="000000"/>
          <w:szCs w:val="28"/>
        </w:rPr>
        <w:t>- ИП ГКФХ Солодов А.И., ИНН 520100613688;</w:t>
      </w:r>
    </w:p>
    <w:p>
      <w:pPr>
        <w:pStyle w:val="Normal"/>
        <w:spacing w:lineRule="auto" w:line="360"/>
        <w:ind w:firstLine="709"/>
        <w:jc w:val="both"/>
        <w:rPr>
          <w:color w:themeColor="text1" w:val="000000"/>
          <w:szCs w:val="28"/>
        </w:rPr>
      </w:pPr>
      <w:r>
        <w:rPr>
          <w:color w:themeColor="text1" w:val="000000"/>
        </w:rPr>
        <w:t xml:space="preserve">- </w:t>
      </w:r>
      <w:r>
        <w:rPr>
          <w:color w:themeColor="text1" w:val="000000"/>
          <w:szCs w:val="28"/>
        </w:rPr>
        <w:t>ИП Абаев Ш.Ш., ИНН 520104013106;</w:t>
      </w:r>
    </w:p>
    <w:p>
      <w:pPr>
        <w:pStyle w:val="Normal"/>
        <w:spacing w:lineRule="auto" w:line="360"/>
        <w:ind w:firstLine="709"/>
        <w:jc w:val="both"/>
        <w:rPr>
          <w:color w:themeColor="text1" w:val="000000"/>
          <w:szCs w:val="28"/>
        </w:rPr>
      </w:pPr>
      <w:r>
        <w:rPr>
          <w:color w:themeColor="text1" w:val="000000"/>
          <w:szCs w:val="28"/>
        </w:rPr>
        <w:t>- ИП ГКФХ Щетинин В.И., ИНН 520103269842.</w:t>
      </w:r>
    </w:p>
    <w:p>
      <w:pPr>
        <w:pStyle w:val="Normal"/>
        <w:spacing w:lineRule="auto" w:line="360"/>
        <w:ind w:firstLine="709"/>
        <w:jc w:val="both"/>
        <w:rPr>
          <w:color w:themeColor="text1" w:val="000000"/>
          <w:szCs w:val="28"/>
        </w:rPr>
      </w:pPr>
      <w:r>
        <w:rPr>
          <w:color w:themeColor="text1" w:val="000000"/>
          <w:szCs w:val="28"/>
        </w:rPr>
      </w:r>
    </w:p>
    <w:p>
      <w:pPr>
        <w:pStyle w:val="Normal"/>
        <w:spacing w:lineRule="auto" w:line="360" w:before="0" w:after="240"/>
        <w:ind w:firstLine="709"/>
        <w:jc w:val="both"/>
        <w:rPr>
          <w:szCs w:val="28"/>
        </w:rPr>
      </w:pPr>
      <w:r>
        <w:rPr>
          <w:szCs w:val="28"/>
        </w:rPr>
        <w:t>1.6. Способом предоставления субсидии является возмещение затрат.</w:t>
      </w:r>
    </w:p>
    <w:p>
      <w:pPr>
        <w:pStyle w:val="Normal"/>
        <w:spacing w:lineRule="auto" w:line="360" w:before="0" w:after="24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Normal"/>
        <w:spacing w:lineRule="auto" w:line="360" w:before="0" w:after="240"/>
        <w:ind w:firstLine="709"/>
        <w:jc w:val="both"/>
        <w:rPr>
          <w:rFonts w:eastAsia="Calibri" w:eastAsiaTheme="minorHAnsi"/>
          <w:szCs w:val="28"/>
          <w:lang w:eastAsia="en-US"/>
        </w:rPr>
      </w:pPr>
      <w:r>
        <w:rPr>
          <w:rFonts w:eastAsia="Calibri" w:eastAsiaTheme="minorHAnsi"/>
          <w:szCs w:val="28"/>
          <w:lang w:eastAsia="en-US"/>
        </w:rPr>
      </w:r>
    </w:p>
    <w:p>
      <w:pPr>
        <w:pStyle w:val="ConsPlusNormal"/>
        <w:spacing w:lineRule="auto" w:line="360" w:before="0" w:after="24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реестра получателей субсидии, предусмотренного пунктом 2.6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24 июля 2023 г. № 358-ФЗ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(за исключением граждан, ведущих личное подсобное хозяйство)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2.2.8. 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Требование, предусмотренное пунктом 2.2.8 настоящего Порядка, применяется при предоставлении субсидий после 1 апреля 2024 г.</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ConsPlusNormal"/>
        <w:tabs>
          <w:tab w:val="clear" w:pos="708"/>
          <w:tab w:val="left" w:pos="1276" w:leader="none"/>
        </w:tabs>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получатель субсидии осуществил внесение удобрений, используемых при производстве конкретного вида продукции растениеводства; </w:t>
      </w:r>
    </w:p>
    <w:p>
      <w:pPr>
        <w:pStyle w:val="ConsPlusNormal"/>
        <w:tabs>
          <w:tab w:val="clear" w:pos="708"/>
          <w:tab w:val="left" w:pos="1276" w:leader="none"/>
        </w:tabs>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2.2.10. При предоставлении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получатель субсидии в дополнение к требованиям, установленным в подпунктах 2.2.1 – 2.2.7 пункта 2.2 настоящего Порядка, должен соответствовать следующим требованиям: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получатель субсидии использовал семена сельскохозяйственных растений:</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w:t>
      </w:r>
    </w:p>
    <w:p>
      <w:pPr>
        <w:pStyle w:val="ConsPlusNormal"/>
        <w:tabs>
          <w:tab w:val="clear" w:pos="708"/>
          <w:tab w:val="left" w:pos="1276" w:leader="none"/>
        </w:tabs>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показатели сортовых и посевных (посадочных) качеств которых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абзаце втором настоящего подпункта).</w:t>
      </w:r>
    </w:p>
    <w:p>
      <w:pPr>
        <w:pStyle w:val="ConsPlusNormal"/>
        <w:spacing w:lineRule="auto" w:line="360"/>
        <w:ind w:firstLine="709"/>
        <w:jc w:val="both"/>
        <w:rPr>
          <w:rFonts w:ascii="Times New Roman" w:hAnsi="Times New Roman" w:cs="Times New Roman"/>
          <w:color w:val="FF0000"/>
          <w:sz w:val="28"/>
          <w:szCs w:val="28"/>
        </w:rPr>
      </w:pPr>
      <w:r>
        <w:rPr>
          <w:rFonts w:cs="Times New Roman" w:ascii="Times New Roman" w:hAnsi="Times New Roman"/>
          <w:sz w:val="28"/>
          <w:szCs w:val="28"/>
        </w:rPr>
        <w:t>2.3. Соответствие требованиям, установленным в подпунктах 2.2.1 – 2.2.8, абзаце втором подпункта 2.2.9 пункта 2.2 настоящего Порядка, получатель субсидии подтверждает в заявлении о предоставлении субсидии.</w:t>
      </w:r>
      <w:r>
        <w:rPr>
          <w:rFonts w:cs="Times New Roman" w:ascii="Times New Roman" w:hAnsi="Times New Roman"/>
          <w:color w:val="FF0000"/>
          <w:sz w:val="28"/>
          <w:szCs w:val="28"/>
        </w:rPr>
        <w:t xml:space="preserve"> </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2.2.10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2.2.10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субсидии по форме, утвержденной Минсельхозпродом;</w:t>
      </w:r>
    </w:p>
    <w:p>
      <w:pPr>
        <w:pStyle w:val="NoSpacing"/>
        <w:widowControl w:val="false"/>
        <w:spacing w:lineRule="auto" w:line="360"/>
        <w:ind w:firstLine="709"/>
        <w:jc w:val="both"/>
        <w:rPr>
          <w:sz w:val="28"/>
          <w:szCs w:val="28"/>
        </w:rPr>
      </w:pPr>
      <w:r>
        <w:rPr>
          <w:sz w:val="28"/>
          <w:szCs w:val="28"/>
        </w:rPr>
        <w:t>отчет о посевных площадях сельскохозяйственных культур (далее - Отчет) за отчетный год по форме, утвержденной Минсельхозпродом. В Отчет включаются сведения обо всех посевных площадях под соответствующими сельскохозяйственными культурами, обрабатываемых получателем субсидии в отчетном году на территории Нижегородской области, а также сведения о посевных площадях озимых культур года, предшествующего отчетному, под урожай отчетного года;</w:t>
      </w:r>
    </w:p>
    <w:p>
      <w:pPr>
        <w:pStyle w:val="NoSpacing"/>
        <w:widowControl w:val="false"/>
        <w:spacing w:lineRule="auto" w:line="360"/>
        <w:ind w:firstLine="709"/>
        <w:jc w:val="both"/>
        <w:rPr>
          <w:sz w:val="28"/>
          <w:szCs w:val="28"/>
        </w:rPr>
      </w:pPr>
      <w:r>
        <w:rPr>
          <w:sz w:val="28"/>
          <w:szCs w:val="28"/>
        </w:rPr>
        <w:t>реестр документов, подтверждающих затраты</w:t>
      </w:r>
      <w:r>
        <w:rPr/>
        <w:t xml:space="preserve"> </w:t>
      </w:r>
      <w:r>
        <w:rPr>
          <w:sz w:val="28"/>
          <w:szCs w:val="28"/>
        </w:rPr>
        <w:t>на проведение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по форме, утвержденной Минсельхозпродом (далее – Реестр документов). Реестр документов представляется с предъявлением оригиналов документов, указанных в данном реестре. К реестру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NoSpacing"/>
        <w:widowControl w:val="false"/>
        <w:spacing w:lineRule="auto" w:line="360"/>
        <w:ind w:firstLine="709"/>
        <w:jc w:val="both"/>
        <w:rPr>
          <w:sz w:val="28"/>
          <w:szCs w:val="28"/>
        </w:rPr>
      </w:pPr>
      <w:r>
        <w:rPr>
          <w:sz w:val="28"/>
          <w:szCs w:val="28"/>
        </w:rPr>
        <w:t>в случае получения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документов, подтверждающих затраты на внесение в отчетном году удобрений (в том числе затраты на их приобретение), используемых при производстве конкретного вида продукции растениеводства: договоров на поставку удобрений, товарных накладных и (или) универсальных передаточных документов, платежных поручений, подтверждающих приобретение удобрений, актов применения удобрений;</w:t>
      </w:r>
    </w:p>
    <w:p>
      <w:pPr>
        <w:pStyle w:val="NoSpacing"/>
        <w:widowControl w:val="false"/>
        <w:spacing w:lineRule="auto" w:line="360"/>
        <w:ind w:firstLine="709"/>
        <w:jc w:val="both"/>
        <w:rPr>
          <w:sz w:val="28"/>
          <w:szCs w:val="28"/>
        </w:rPr>
      </w:pPr>
      <w:r>
        <w:rPr>
          <w:sz w:val="28"/>
          <w:szCs w:val="28"/>
        </w:rPr>
        <w:t>в случае получения субсидии на проведение агротехнологических работ,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а также актов расхода семян и посадочного материала по форме № СП-13, утвержденной постановлением Госкомстата России от 29 сентября 1997 г. № 68;</w:t>
      </w:r>
    </w:p>
    <w:p>
      <w:pPr>
        <w:pStyle w:val="NoSpacing"/>
        <w:widowControl w:val="false"/>
        <w:spacing w:lineRule="auto" w:line="360"/>
        <w:ind w:firstLine="709"/>
        <w:jc w:val="both"/>
        <w:rPr>
          <w:sz w:val="28"/>
          <w:szCs w:val="28"/>
        </w:rPr>
      </w:pPr>
      <w:r>
        <w:rPr>
          <w:sz w:val="28"/>
          <w:szCs w:val="28"/>
        </w:rPr>
        <w:t>документы, являющиеся основанием применения коэффициентов в соответствии с подпунктом 2.8.3 пункта 2.8. настоящего Порядка (при наличии).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2.4.2.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pPr>
        <w:pStyle w:val="ConsPlusNormal"/>
        <w:spacing w:lineRule="auto" w:line="360" w:before="240" w:after="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проведение </w:t>
      </w:r>
      <w:r>
        <w:rPr>
          <w:rFonts w:cs="Times New Roman" w:ascii="Times New Roman" w:hAnsi="Times New Roman"/>
          <w:bCs/>
          <w:sz w:val="28"/>
          <w:szCs w:val="28"/>
        </w:rPr>
        <w:t>агротехнологических работ, повышение уровня экологической безопасности сельскохозяйственного производства, а также по повышению плодородия и качества почв</w:t>
      </w:r>
      <w:r>
        <w:rPr>
          <w:rFonts w:cs="Times New Roman" w:ascii="Times New Roman" w:hAnsi="Times New Roman"/>
          <w:sz w:val="28"/>
          <w:szCs w:val="28"/>
        </w:rPr>
        <w:t>.</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 xml:space="preserve">Понесенные получателем субсидии затраты осуществляются в рамках реализации проектов </w:t>
      </w:r>
      <w:r>
        <w:rPr>
          <w:bCs/>
          <w:szCs w:val="28"/>
        </w:rPr>
        <w:t>проведения агротехнологических работ, повышения уровня экологической безопасности сельскохозяйственного производства, а также повышения плодородия и качества почв</w:t>
      </w:r>
      <w:r>
        <w:rPr>
          <w:szCs w:val="28"/>
        </w:rPr>
        <w:t>,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Расчет размера субсидии осуществляется по ставкам, утверждаемым Минсельхозпродом дифференцированно:</w:t>
      </w:r>
    </w:p>
    <w:p>
      <w:pPr>
        <w:pStyle w:val="Normal"/>
        <w:widowControl w:val="false"/>
        <w:spacing w:lineRule="auto" w:line="360"/>
        <w:ind w:firstLine="709"/>
        <w:jc w:val="both"/>
        <w:rPr>
          <w:szCs w:val="28"/>
        </w:rPr>
      </w:pPr>
      <w:r>
        <w:rPr>
          <w:szCs w:val="28"/>
        </w:rPr>
        <w:t>1)  в отношении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 - по ставкам на 1 гектар посевной площади, занятой посевами зерновых, зернобобовых, масличных (за исключением рапса и сои), кормовых сельскохозяйственных культур под урожай отчетного года, с учетом следующих коэффициентов:</w:t>
      </w:r>
    </w:p>
    <w:p>
      <w:pPr>
        <w:pStyle w:val="Normal"/>
        <w:widowControl w:val="false"/>
        <w:spacing w:lineRule="auto" w:line="360"/>
        <w:ind w:firstLine="709"/>
        <w:jc w:val="both"/>
        <w:rPr>
          <w:szCs w:val="28"/>
        </w:rPr>
      </w:pPr>
      <w:r>
        <w:rPr>
          <w:szCs w:val="28"/>
        </w:rPr>
        <w:t>а) 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pPr>
        <w:pStyle w:val="Normal"/>
        <w:widowControl w:val="false"/>
        <w:spacing w:lineRule="auto" w:line="360"/>
        <w:ind w:firstLine="709"/>
        <w:jc w:val="both"/>
        <w:rPr>
          <w:szCs w:val="28"/>
        </w:rPr>
      </w:pPr>
      <w:r>
        <w:rPr>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Normal"/>
        <w:widowControl w:val="false"/>
        <w:spacing w:lineRule="auto" w:line="360"/>
        <w:ind w:firstLine="709"/>
        <w:jc w:val="both"/>
        <w:rPr>
          <w:szCs w:val="28"/>
        </w:rPr>
      </w:pPr>
      <w:r>
        <w:rPr>
          <w:szCs w:val="28"/>
        </w:rPr>
        <w:t>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w:t>
      </w:r>
    </w:p>
    <w:p>
      <w:pPr>
        <w:pStyle w:val="Normal"/>
        <w:widowControl w:val="false"/>
        <w:spacing w:lineRule="auto" w:line="360"/>
        <w:ind w:firstLine="709"/>
        <w:jc w:val="both"/>
        <w:rPr>
          <w:szCs w:val="28"/>
        </w:rPr>
      </w:pPr>
      <w:r>
        <w:rPr>
          <w:szCs w:val="28"/>
        </w:rPr>
        <w:t>Если плановое значение результата предоставления субсидии на отчетный год не устанавливалось, применяется коэффициент, равный 1;</w:t>
      </w:r>
    </w:p>
    <w:p>
      <w:pPr>
        <w:pStyle w:val="Normal"/>
        <w:widowControl w:val="false"/>
        <w:spacing w:lineRule="auto" w:line="360"/>
        <w:ind w:firstLine="709"/>
        <w:jc w:val="both"/>
        <w:rPr>
          <w:szCs w:val="28"/>
        </w:rPr>
      </w:pPr>
      <w:r>
        <w:rPr>
          <w:szCs w:val="28"/>
        </w:rPr>
        <w:t>б) к ставке применяются следующие коэффициенты:</w:t>
      </w:r>
    </w:p>
    <w:p>
      <w:pPr>
        <w:pStyle w:val="Normal"/>
        <w:widowControl w:val="false"/>
        <w:spacing w:lineRule="auto" w:line="360"/>
        <w:ind w:firstLine="709"/>
        <w:jc w:val="both"/>
        <w:rPr>
          <w:szCs w:val="28"/>
        </w:rPr>
      </w:pPr>
      <w:r>
        <w:rPr>
          <w:szCs w:val="28"/>
        </w:rPr>
        <w:t>2 - для посевных площадей, отраженных в проектно-сметной документации при проведении получателями субсидии работ по фосфоритованию и (или) гипсованию посевных площадей. Коэффициент применяется на основании представленных получателем субсидии документов: проектной документации, акта выполненных работ по фосфоритованию и (или) гипсованию посевных площадей в году, предшествующему отчетному финансовому году, отчета о севе сельскохозяйственных культур в отчетном финансовом году после проведения работ по фосфоритованию и (или) гипсованию посевных площадей по форме, утвержденной Минсельхозпродом;</w:t>
      </w:r>
    </w:p>
    <w:p>
      <w:pPr>
        <w:pStyle w:val="Normal"/>
        <w:widowControl w:val="false"/>
        <w:spacing w:lineRule="auto" w:line="360"/>
        <w:ind w:firstLine="709"/>
        <w:jc w:val="both"/>
        <w:rPr>
          <w:szCs w:val="28"/>
        </w:rPr>
      </w:pPr>
      <w:r>
        <w:rPr>
          <w:szCs w:val="28"/>
        </w:rPr>
        <w:t>1,2 - для посевных площадей, в отношении которых получателями 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Коэффициент применяется на основании представленной получателем субсидии копии договора сельскохозяйственного страхования, осуществляемого с государственной поддержкой, в отношении посевных площадей, представленных к субсидированию;</w:t>
      </w:r>
    </w:p>
    <w:p>
      <w:pPr>
        <w:pStyle w:val="Normal"/>
        <w:widowControl w:val="false"/>
        <w:spacing w:lineRule="auto" w:line="360"/>
        <w:ind w:firstLine="709"/>
        <w:jc w:val="both"/>
        <w:rPr>
          <w:szCs w:val="28"/>
        </w:rPr>
      </w:pPr>
      <w:r>
        <w:rPr>
          <w:szCs w:val="28"/>
        </w:rPr>
        <w:t>2 – для получателей субсидии, использующих семена отечественной селекции. Коэффициент применяется на основании информации, предоставленной получателем по форме, утвержденной Минсельхозпродом.</w:t>
      </w:r>
    </w:p>
    <w:p>
      <w:pPr>
        <w:pStyle w:val="Normal"/>
        <w:widowControl w:val="false"/>
        <w:spacing w:lineRule="auto" w:line="360"/>
        <w:ind w:firstLine="709"/>
        <w:jc w:val="both"/>
        <w:rPr>
          <w:szCs w:val="28"/>
        </w:rPr>
      </w:pPr>
      <w:r>
        <w:rPr>
          <w:szCs w:val="28"/>
        </w:rPr>
        <w:t>2)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 по ставкам на 1 гектар посевной площади, занятой посевами зерновых и зернобобовых культур, масличных</w:t>
      </w:r>
      <w:r>
        <w:rPr/>
        <w:t xml:space="preserve"> </w:t>
      </w:r>
      <w:r>
        <w:rPr>
          <w:szCs w:val="28"/>
        </w:rPr>
        <w:t xml:space="preserve">культур, однолетних кормовых сельскохозяйственных культур, многолетних кормовых сельскохозяйственных культур, сахарной свеклы, овощей открытого грунта, льна долгунца и технической конопли под урожай отчетного года, с учетом следующих коэффициентов: </w:t>
      </w:r>
    </w:p>
    <w:p>
      <w:pPr>
        <w:pStyle w:val="Normal"/>
        <w:widowControl w:val="false"/>
        <w:spacing w:lineRule="auto" w:line="360"/>
        <w:ind w:firstLine="709"/>
        <w:jc w:val="both"/>
        <w:rPr>
          <w:szCs w:val="28"/>
        </w:rPr>
      </w:pPr>
      <w:r>
        <w:rPr>
          <w:szCs w:val="28"/>
        </w:rPr>
        <w:t>а) 1,2 – для получателей субсидий при одновременном соблюдении следующих условий:</w:t>
      </w:r>
      <w:bookmarkStart w:id="6" w:name="Par1"/>
      <w:bookmarkEnd w:id="6"/>
    </w:p>
    <w:p>
      <w:pPr>
        <w:pStyle w:val="Normal"/>
        <w:widowControl w:val="false"/>
        <w:spacing w:lineRule="auto" w:line="360"/>
        <w:ind w:firstLine="709"/>
        <w:jc w:val="both"/>
        <w:rPr>
          <w:szCs w:val="28"/>
        </w:rPr>
      </w:pPr>
      <w:r>
        <w:rPr>
          <w:szCs w:val="28"/>
        </w:rPr>
        <w:t>получатель средств застраховал в отчетном году по договору (ам) сельскохозяйственного страхования, осуществляемого с государственной поддержкой, риски утраты (гибели) урожая сельскохозяйственных культур, входящих в одну из следующих групп: зерновые и зернобобовые культуры, масличные культуры, однолетние кормовые сельскохозяйственные культуры,  овощи открытого грунта, и (или) следующих сельскохозяйственных культур: сахарная свекла, лен долгунец и техническая конопля (далее - застрахованные посевные площади);</w:t>
      </w:r>
    </w:p>
    <w:p>
      <w:pPr>
        <w:pStyle w:val="Normal"/>
        <w:widowControl w:val="false"/>
        <w:spacing w:lineRule="auto" w:line="360"/>
        <w:ind w:firstLine="709"/>
        <w:jc w:val="both"/>
        <w:rPr>
          <w:szCs w:val="28"/>
        </w:rPr>
      </w:pPr>
      <w:r>
        <w:rPr>
          <w:szCs w:val="28"/>
        </w:rPr>
        <w:t xml:space="preserve">посевные площади одной или нескольких сельскохозяйственных культур, входящих в группу, указанную в </w:t>
      </w:r>
      <w:hyperlink w:anchor="Par1">
        <w:r>
          <w:rPr>
            <w:rStyle w:val="Style6"/>
            <w:szCs w:val="28"/>
          </w:rPr>
          <w:t>абзаце втором</w:t>
        </w:r>
      </w:hyperlink>
      <w:r>
        <w:rPr>
          <w:szCs w:val="28"/>
        </w:rPr>
        <w:t xml:space="preserve"> настоящего подпункта, представлены получателем средств к субсидированию (далее - субсидируемые посевные площади в группе);</w:t>
      </w:r>
    </w:p>
    <w:p>
      <w:pPr>
        <w:pStyle w:val="Normal"/>
        <w:widowControl w:val="false"/>
        <w:spacing w:lineRule="auto" w:line="360"/>
        <w:ind w:firstLine="709"/>
        <w:jc w:val="both"/>
        <w:rPr>
          <w:szCs w:val="28"/>
        </w:rPr>
      </w:pPr>
      <w:r>
        <w:rPr>
          <w:szCs w:val="28"/>
        </w:rPr>
        <w:t>соотношение застрахованных посевных площадей к субсидируемым посевным площадям в группе для получателя средств составляет не менее 30 процентов.</w:t>
      </w:r>
    </w:p>
    <w:p>
      <w:pPr>
        <w:pStyle w:val="Normal"/>
        <w:widowControl w:val="false"/>
        <w:spacing w:lineRule="auto" w:line="360"/>
        <w:ind w:firstLine="709"/>
        <w:jc w:val="both"/>
        <w:rPr>
          <w:szCs w:val="28"/>
        </w:rPr>
      </w:pPr>
      <w:r>
        <w:rPr>
          <w:szCs w:val="28"/>
        </w:rPr>
        <w:t>При этом коэффициент, равный 1,2, применяется к ставкам субсидий на субсидируемые посевные площади в группе. Для остальных посевных площадей, а также для получателей средств, не удовлетворяющих условиям, установленным абзацами вторым - четвертым настоящего подпункта, коэффициент равен 1.</w:t>
      </w:r>
    </w:p>
    <w:p>
      <w:pPr>
        <w:pStyle w:val="Normal"/>
        <w:widowControl w:val="false"/>
        <w:spacing w:lineRule="auto" w:line="360" w:before="0" w:after="240"/>
        <w:ind w:firstLine="709"/>
        <w:jc w:val="both"/>
        <w:rPr>
          <w:szCs w:val="28"/>
        </w:rPr>
      </w:pPr>
      <w:r>
        <w:rPr>
          <w:szCs w:val="28"/>
        </w:rPr>
        <w:t>3) 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before="0" w:after="240"/>
        <w:ind w:firstLine="709"/>
        <w:jc w:val="both"/>
        <w:rPr>
          <w:sz w:val="28"/>
          <w:szCs w:val="28"/>
        </w:rPr>
      </w:pPr>
      <w:r>
        <w:rPr>
          <w:sz w:val="28"/>
          <w:szCs w:val="28"/>
        </w:rPr>
        <w:t>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сводных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before="0" w:after="24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значений результатов предоставления субсидии, указанных в пункте 2.15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 обеспечению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апреля 2024 г.); </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 xml:space="preserve">2.15. Результатами предоставления субсидии являются: </w:t>
      </w:r>
    </w:p>
    <w:p>
      <w:pPr>
        <w:pStyle w:val="NoSpacing"/>
        <w:widowControl w:val="false"/>
        <w:spacing w:lineRule="auto" w:line="360"/>
        <w:ind w:firstLine="709"/>
        <w:jc w:val="both"/>
        <w:rPr>
          <w:sz w:val="28"/>
          <w:szCs w:val="28"/>
        </w:rPr>
      </w:pPr>
      <w:r>
        <w:rPr>
          <w:szCs w:val="28"/>
        </w:rPr>
        <w:t xml:space="preserve">- </w:t>
      </w:r>
      <w:r>
        <w:rPr>
          <w:sz w:val="28"/>
          <w:szCs w:val="28"/>
        </w:rPr>
        <w:t>посевная площадь за год предоставления субсидии, занятая зерновыми, зернобобовыми, масличными (за исключением рапса и сои) и кормовыми сельскохозяйственными культурами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втором пункта 2.9 настоящего Порядка;</w:t>
      </w:r>
    </w:p>
    <w:p>
      <w:pPr>
        <w:pStyle w:val="NoSpacing"/>
        <w:widowControl w:val="false"/>
        <w:spacing w:lineRule="auto" w:line="360"/>
        <w:ind w:firstLine="709"/>
        <w:jc w:val="both"/>
        <w:rPr>
          <w:sz w:val="28"/>
          <w:szCs w:val="28"/>
        </w:rPr>
      </w:pPr>
      <w:r>
        <w:rPr>
          <w:sz w:val="28"/>
          <w:szCs w:val="28"/>
        </w:rPr>
        <w:t>- посевная площадь сельскохозяйственных культур за год предоставления субсидии, включая площадь озимых культур отчетного года, под урожай года предоставления субсидии (в гектарах) – при получении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Размер посевной площади, устанавливаемый в соглашении, не может быть меньше посевной площади, подлежащей субсидированию.</w:t>
      </w:r>
    </w:p>
    <w:p>
      <w:pPr>
        <w:pStyle w:val="NoSpacing"/>
        <w:widowControl w:val="false"/>
        <w:spacing w:lineRule="auto" w:line="360"/>
        <w:ind w:firstLine="709"/>
        <w:jc w:val="both"/>
        <w:rPr>
          <w:color w:val="FF0000"/>
          <w:szCs w:val="28"/>
        </w:rPr>
      </w:pPr>
      <w:r>
        <w:rPr>
          <w:sz w:val="28"/>
          <w:szCs w:val="28"/>
        </w:rPr>
        <w:t>Значение результата предоставления субсидии, указанного в абзаце втором настоящего пункта, устанавливается по состоянию на 31 декабря года предоставления субсидии, указанного в абзаце третьем настоящего пункта – по состоянию на 1 августа года предоставления субсидии.</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360"/>
        <w:ind w:firstLine="567"/>
        <w:jc w:val="both"/>
        <w:rPr>
          <w:szCs w:val="28"/>
        </w:rPr>
      </w:pPr>
      <w:r>
        <w:rPr>
          <w:szCs w:val="28"/>
        </w:rPr>
        <w:t>3.1. Получатель субсидии ежеквартально, не позднее 20 числа месяца, следующего за отчетным кварталом, а за четвертый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(далее – отчет)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Normal"/>
        <w:widowControl w:val="false"/>
        <w:spacing w:lineRule="auto" w:line="360" w:before="0" w:after="240"/>
        <w:ind w:firstLine="567"/>
        <w:jc w:val="both"/>
        <w:rPr>
          <w:szCs w:val="28"/>
        </w:rPr>
      </w:pPr>
      <w:r>
        <w:rPr>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 настоящего Порядка, отчет о достижении значений результатов предоставления субсидии предоставляется до истечения установленного срока достижения результата предоставления субсидии по формам, предусмотренным типовыми формами, установленными финансовым органом муниципального образования.</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before="0" w:after="24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before="0" w:after="24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pStyle w:val="NoSpacing"/>
        <w:jc w:val="right"/>
        <w:rPr>
          <w:sz w:val="26"/>
          <w:szCs w:val="26"/>
        </w:rPr>
      </w:pPr>
      <w:r>
        <w:rPr>
          <w:sz w:val="26"/>
          <w:szCs w:val="26"/>
        </w:rPr>
      </w:r>
    </w:p>
    <w:sectPr>
      <w:headerReference w:type="even" r:id="rId5"/>
      <w:headerReference w:type="default" r:id="rId6"/>
      <w:headerReference w:type="first" r:id="rId7"/>
      <w:type w:val="nextPage"/>
      <w:pgSz w:w="11906" w:h="16838"/>
      <w:pgMar w:left="1701" w:right="850" w:gutter="0" w:header="709" w:top="1134" w:footer="0" w:bottom="993"/>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a460f5"/>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a460f5"/>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a460f5"/>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a460f5"/>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a460f5"/>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a460f5"/>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a460f5"/>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https://login.consultant.ru/link/?req=doc&amp;base=LAW&amp;n=397394&amp;dst=100021&amp;field=134&amp;date=26.10.202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B678-B1CC-43E3-99E8-17FA7C8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LibreOffice/24.8.4.1$Linux_X86_64 LibreOffice_project/480$Build-1</Application>
  <AppVersion>15.0000</AppVersion>
  <Pages>29</Pages>
  <Words>5593</Words>
  <Characters>43294</Characters>
  <CharactersWithSpaces>49170</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2024-03-11T05:14:00Z</dcterms:created>
  <dc:creator>Ирина Карпычева</dc:creator>
  <dc:description/>
  <dc:language>ru-RU</dc:language>
  <cp:lastModifiedBy>Сельское Хозяйство</cp:lastModifiedBy>
  <cp:lastPrinted>2024-03-12T13:59:00Z</cp:lastPrinted>
  <dcterms:modified xsi:type="dcterms:W3CDTF">2025-04-14T12:06:00Z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